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pStyle w:val="Prrafodelista"/>
        <w:ind w:left="360"/>
        <w:jc w:val="both"/>
        <w:rPr>
          <w:rFonts w:ascii="Arial" w:hAnsi="Arial" w:cs="Arial"/>
          <w:b/>
          <w:sz w:val="22"/>
          <w:szCs w:val="22"/>
          <w:lang w:val="es-MX"/>
        </w:rPr>
      </w:pPr>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89</w:t>
      </w:r>
      <w:r w:rsidR="00715976">
        <w:rPr>
          <w:rFonts w:ascii="Arial" w:hAnsi="Arial" w:cs="Arial"/>
          <w:b/>
          <w:caps/>
          <w:sz w:val="22"/>
          <w:szCs w:val="22"/>
          <w:lang w:val="es-MX"/>
        </w:rPr>
        <w:t>.-</w:t>
      </w:r>
      <w:r w:rsidRPr="002B7E4F">
        <w:rPr>
          <w:rFonts w:ascii="Arial" w:hAnsi="Arial" w:cs="Arial"/>
          <w:b/>
          <w:caps/>
          <w:sz w:val="22"/>
          <w:szCs w:val="22"/>
          <w:lang w:val="es-MX"/>
        </w:rPr>
        <w:t xml:space="preserve"> Equipo de medición hidroneumática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Suministro y colocación de manómetro de glicerina con rango de 0-300 PSI, con carátula de 2 1/2 in de diámetro y conexión de 1/4 NPT roscada. El precio unitario, incluye: mano de obra, equipo, herramienta, instalación, pruebas, conexiones, elevaciones, almacenaje y todo lo necesario para su correcta ejecución.</w:t>
      </w:r>
    </w:p>
    <w:p w:rsidR="002B7E4F" w:rsidRPr="002B7E4F" w:rsidRDefault="002B7E4F" w:rsidP="002B7E4F">
      <w:pPr>
        <w:jc w:val="both"/>
        <w:rPr>
          <w:rFonts w:ascii="Arial" w:hAnsi="Arial" w:cs="Arial"/>
          <w:sz w:val="22"/>
          <w:szCs w:val="22"/>
          <w:lang w:val="es-MX"/>
        </w:rPr>
      </w:pPr>
    </w:p>
    <w:p w:rsidR="002B7E4F" w:rsidRPr="002B7E4F" w:rsidRDefault="002B7E4F" w:rsidP="00462F48">
      <w:pPr>
        <w:pStyle w:val="TITULO-3"/>
        <w:numPr>
          <w:ilvl w:val="2"/>
          <w:numId w:val="13"/>
        </w:numPr>
        <w:rPr>
          <w:rFonts w:ascii="Arial" w:hAnsi="Arial" w:cs="Arial"/>
          <w:b/>
          <w:sz w:val="22"/>
          <w:szCs w:val="22"/>
        </w:rPr>
      </w:pPr>
      <w:bookmarkStart w:id="0" w:name="_Toc368180111"/>
      <w:r w:rsidRPr="002B7E4F">
        <w:rPr>
          <w:rFonts w:ascii="Arial" w:hAnsi="Arial" w:cs="Arial"/>
          <w:b/>
          <w:sz w:val="22"/>
          <w:szCs w:val="22"/>
        </w:rPr>
        <w:t>Características Técnicas</w:t>
      </w:r>
      <w:bookmarkEnd w:id="0"/>
    </w:p>
    <w:p w:rsidR="002B7E4F" w:rsidRPr="002B7E4F" w:rsidRDefault="002B7E4F" w:rsidP="00462F48">
      <w:pPr>
        <w:pStyle w:val="TITULO-4"/>
        <w:numPr>
          <w:ilvl w:val="3"/>
          <w:numId w:val="13"/>
        </w:numPr>
        <w:rPr>
          <w:spacing w:val="-1"/>
          <w:sz w:val="22"/>
          <w:szCs w:val="22"/>
        </w:rPr>
      </w:pPr>
      <w:bookmarkStart w:id="1" w:name="_Toc368180112"/>
      <w:r w:rsidRPr="002B7E4F">
        <w:rPr>
          <w:spacing w:val="-1"/>
          <w:sz w:val="22"/>
          <w:szCs w:val="22"/>
        </w:rPr>
        <w:t>Base de selección.</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Las características de los equipos seleccionados se han basado en la siguiente tabla y ha servido de guía para la selección de las mismas.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934710" cy="1889125"/>
            <wp:effectExtent l="19050" t="0" r="8890" b="0"/>
            <wp:docPr id="45" name="Imagen 45" descr="manom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manometro"/>
                    <pic:cNvPicPr>
                      <a:picLocks noChangeAspect="1" noChangeArrowheads="1"/>
                    </pic:cNvPicPr>
                  </pic:nvPicPr>
                  <pic:blipFill>
                    <a:blip r:embed="rId9" cstate="print"/>
                    <a:srcRect/>
                    <a:stretch>
                      <a:fillRect/>
                    </a:stretch>
                  </pic:blipFill>
                  <pic:spPr bwMode="auto">
                    <a:xfrm>
                      <a:off x="0" y="0"/>
                      <a:ext cx="5934710" cy="188912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502C33" w:rsidP="002B7E4F">
      <w:pPr>
        <w:jc w:val="both"/>
        <w:rPr>
          <w:rFonts w:ascii="Arial" w:hAnsi="Arial" w:cs="Arial"/>
          <w:sz w:val="22"/>
          <w:szCs w:val="22"/>
        </w:rPr>
      </w:pPr>
      <w:r>
        <w:rPr>
          <w:rFonts w:ascii="Arial" w:hAnsi="Arial" w:cs="Arial"/>
          <w:noProof/>
          <w:sz w:val="22"/>
          <w:szCs w:val="22"/>
          <w:lang w:eastAsia="en-US"/>
        </w:rPr>
        <w:lastRenderedPageBreak/>
        <w:pict>
          <v:rect id="_x0000_s1036" style="position:absolute;left:0;text-align:left;margin-left:11.4pt;margin-top:223.5pt;width:279.85pt;height:16.3pt;z-index:251679744" filled="f" strokecolor="#c0504d" strokeweight="2.5pt">
            <v:shadow color="#868686"/>
          </v:rect>
        </w:pict>
      </w:r>
      <w:r>
        <w:rPr>
          <w:rFonts w:ascii="Arial" w:hAnsi="Arial" w:cs="Arial"/>
          <w:noProof/>
          <w:sz w:val="22"/>
          <w:szCs w:val="22"/>
          <w:lang w:eastAsia="en-US"/>
        </w:rPr>
        <w:pict>
          <v:rect id="_x0000_s1035" style="position:absolute;left:0;text-align:left;margin-left:11.4pt;margin-top:106.95pt;width:211.95pt;height:16.3pt;z-index:251678720" filled="f" strokecolor="#c0504d" strokeweight="2.5pt">
            <v:shadow color="#868686"/>
          </v:rect>
        </w:pict>
      </w:r>
      <w:r>
        <w:rPr>
          <w:rFonts w:ascii="Arial" w:hAnsi="Arial" w:cs="Arial"/>
          <w:noProof/>
          <w:sz w:val="22"/>
          <w:szCs w:val="22"/>
          <w:lang w:eastAsia="en-US"/>
        </w:rPr>
        <w:pict>
          <v:rect id="_x0000_s1037" style="position:absolute;left:0;text-align:left;margin-left:-13.3pt;margin-top:418.75pt;width:487.25pt;height:16.3pt;z-index:251680768"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4710" cy="5822950"/>
            <wp:effectExtent l="19050" t="0" r="889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srcRect/>
                    <a:stretch>
                      <a:fillRect/>
                    </a:stretch>
                  </pic:blipFill>
                  <pic:spPr bwMode="auto">
                    <a:xfrm>
                      <a:off x="0" y="0"/>
                      <a:ext cx="5934710" cy="582295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bookmarkStart w:id="2" w:name="_GoBack"/>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b/>
      </w:r>
    </w:p>
    <w:p w:rsidR="002B7E4F" w:rsidRPr="002B7E4F" w:rsidRDefault="002B7E4F" w:rsidP="00462F48">
      <w:pPr>
        <w:pStyle w:val="TITULO-3"/>
        <w:numPr>
          <w:ilvl w:val="2"/>
          <w:numId w:val="13"/>
        </w:numPr>
        <w:tabs>
          <w:tab w:val="clear" w:pos="1440"/>
          <w:tab w:val="num" w:pos="851"/>
        </w:tabs>
        <w:ind w:left="851" w:hanging="851"/>
        <w:rPr>
          <w:rFonts w:ascii="Arial" w:hAnsi="Arial" w:cs="Arial"/>
          <w:b/>
          <w:sz w:val="22"/>
          <w:szCs w:val="22"/>
        </w:rPr>
      </w:pPr>
      <w:bookmarkStart w:id="3" w:name="_Toc368180114"/>
      <w:r w:rsidRPr="002B7E4F">
        <w:rPr>
          <w:rFonts w:ascii="Arial" w:hAnsi="Arial" w:cs="Arial"/>
          <w:b/>
          <w:sz w:val="22"/>
          <w:szCs w:val="22"/>
        </w:rPr>
        <w:lastRenderedPageBreak/>
        <w:t>Ejecución de Obra</w:t>
      </w:r>
      <w:bookmarkEnd w:id="3"/>
    </w:p>
    <w:p w:rsidR="002B7E4F" w:rsidRPr="002B7E4F" w:rsidRDefault="002B7E4F" w:rsidP="00462F48">
      <w:pPr>
        <w:pStyle w:val="TITULO-4"/>
        <w:numPr>
          <w:ilvl w:val="3"/>
          <w:numId w:val="13"/>
        </w:numPr>
        <w:rPr>
          <w:sz w:val="22"/>
          <w:szCs w:val="22"/>
        </w:rPr>
      </w:pPr>
      <w:bookmarkStart w:id="4" w:name="_Toc368180115"/>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del manómetro de glicerina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3"/>
        </w:numPr>
        <w:rPr>
          <w:sz w:val="22"/>
          <w:szCs w:val="22"/>
        </w:rPr>
      </w:pPr>
      <w:bookmarkStart w:id="5" w:name="_Toc368180116"/>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3"/>
        </w:numPr>
        <w:rPr>
          <w:sz w:val="22"/>
          <w:szCs w:val="22"/>
        </w:rPr>
      </w:pPr>
      <w:bookmarkStart w:id="6" w:name="_Toc368180117"/>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 mencionado en el presente Documento y omitido en los planos, o viceversa, habrá de ser ejecutado como si estuviese desarrollo en ambos documentos. En caso de </w:t>
      </w:r>
      <w:r w:rsidRPr="002B7E4F">
        <w:rPr>
          <w:rFonts w:ascii="Arial" w:hAnsi="Arial" w:cs="Arial"/>
          <w:sz w:val="22"/>
          <w:szCs w:val="22"/>
        </w:rPr>
        <w:lastRenderedPageBreak/>
        <w:t>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Como consecuencia de la información recibida del suministrador del  </w:t>
      </w:r>
      <w:r w:rsidRPr="002B7E4F">
        <w:rPr>
          <w:rFonts w:ascii="Arial" w:hAnsi="Arial" w:cs="Arial"/>
          <w:sz w:val="22"/>
          <w:szCs w:val="22"/>
          <w:lang w:val="es-MX"/>
        </w:rPr>
        <w:t>manómetro de glicerina</w:t>
      </w:r>
      <w:r w:rsidRPr="002B7E4F">
        <w:rPr>
          <w:rFonts w:ascii="Arial" w:hAnsi="Arial" w:cs="Arial"/>
          <w:sz w:val="22"/>
          <w:szCs w:val="22"/>
        </w:rPr>
        <w:t>,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3"/>
        </w:numPr>
        <w:tabs>
          <w:tab w:val="clear" w:pos="1440"/>
          <w:tab w:val="num" w:pos="851"/>
        </w:tabs>
        <w:ind w:left="851" w:hanging="851"/>
        <w:rPr>
          <w:rFonts w:ascii="Arial" w:hAnsi="Arial" w:cs="Arial"/>
          <w:b/>
          <w:sz w:val="22"/>
          <w:szCs w:val="22"/>
        </w:rPr>
      </w:pPr>
      <w:bookmarkStart w:id="7" w:name="_Toc368180118"/>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tanque </w:t>
      </w:r>
      <w:r w:rsidRPr="002B7E4F">
        <w:rPr>
          <w:rFonts w:ascii="Arial" w:hAnsi="Arial" w:cs="Arial"/>
          <w:sz w:val="22"/>
          <w:szCs w:val="22"/>
          <w:lang w:val="es-MX"/>
        </w:rPr>
        <w:t xml:space="preserve">manómetro de glicerina </w:t>
      </w:r>
      <w:r w:rsidRPr="002B7E4F">
        <w:rPr>
          <w:rFonts w:ascii="Arial" w:hAnsi="Arial" w:cs="Arial"/>
          <w:sz w:val="22"/>
          <w:szCs w:val="22"/>
        </w:rPr>
        <w:t xml:space="preserve">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También se incluirán en el presente concepto todos los arreglos de tuberías y accesorios que permitan el correcto funcionamiento de dichos equipos.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3"/>
        </w:numPr>
        <w:tabs>
          <w:tab w:val="clear" w:pos="1440"/>
          <w:tab w:val="num" w:pos="851"/>
        </w:tabs>
        <w:ind w:left="851" w:hanging="851"/>
        <w:rPr>
          <w:rFonts w:ascii="Arial" w:hAnsi="Arial" w:cs="Arial"/>
          <w:b/>
          <w:sz w:val="22"/>
          <w:szCs w:val="22"/>
        </w:rPr>
      </w:pPr>
      <w:bookmarkStart w:id="8" w:name="_Toc368180119"/>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Los equipos deberán de calibrarse y probarse en sitio.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3"/>
        </w:numPr>
        <w:rPr>
          <w:sz w:val="22"/>
          <w:szCs w:val="22"/>
        </w:rPr>
      </w:pPr>
      <w:bookmarkStart w:id="9" w:name="_Toc368180120"/>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3"/>
        </w:numPr>
        <w:rPr>
          <w:sz w:val="22"/>
          <w:szCs w:val="22"/>
        </w:rPr>
      </w:pPr>
      <w:bookmarkStart w:id="10" w:name="_Toc368180121"/>
      <w:r w:rsidRPr="002B7E4F">
        <w:rPr>
          <w:sz w:val="22"/>
          <w:szCs w:val="22"/>
        </w:rPr>
        <w:lastRenderedPageBreak/>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3"/>
        </w:numPr>
        <w:tabs>
          <w:tab w:val="clear" w:pos="1440"/>
          <w:tab w:val="num" w:pos="851"/>
        </w:tabs>
        <w:ind w:left="851" w:hanging="851"/>
        <w:rPr>
          <w:rFonts w:ascii="Arial" w:hAnsi="Arial" w:cs="Arial"/>
          <w:b/>
          <w:sz w:val="22"/>
          <w:szCs w:val="22"/>
        </w:rPr>
      </w:pPr>
      <w:bookmarkStart w:id="11" w:name="_Toc368180122"/>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02C33">
      <w:rPr>
        <w:rStyle w:val="Nmerodepgina"/>
        <w:noProof/>
      </w:rPr>
      <w:t>2</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1A95"/>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3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224E8-E823-4A42-A2D6-31C4663FF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1195</Words>
  <Characters>6677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2014-04-10T22:07:00Z</dcterms:created>
  <dcterms:modified xsi:type="dcterms:W3CDTF">2014-04-10T22:07:00Z</dcterms:modified>
</cp:coreProperties>
</file>